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4" w:rsidRDefault="00175584" w:rsidP="00175584">
      <w:pPr>
        <w:jc w:val="left"/>
        <w:rPr>
          <w:rFonts w:asciiTheme="minorEastAsia" w:hAnsiTheme="minorEastAsia" w:hint="eastAsia"/>
          <w:sz w:val="24"/>
        </w:rPr>
      </w:pPr>
      <w:r w:rsidRPr="00160889">
        <w:rPr>
          <w:rFonts w:asciiTheme="minorEastAsia" w:hAnsiTheme="minorEastAsia" w:hint="eastAsia"/>
          <w:sz w:val="24"/>
        </w:rPr>
        <w:t>附件二：泸州市泸县烟草制品零售点附件城东发展区域分布图</w:t>
      </w:r>
    </w:p>
    <w:p w:rsidR="00175584" w:rsidRDefault="00175584" w:rsidP="00175584">
      <w:pPr>
        <w:jc w:val="left"/>
        <w:rPr>
          <w:rFonts w:asciiTheme="minorEastAsia" w:hAnsiTheme="minorEastAsia" w:hint="eastAsia"/>
          <w:sz w:val="24"/>
        </w:rPr>
      </w:pP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0A58652B" wp14:editId="7C2DDF9D">
            <wp:extent cx="5399405" cy="5399405"/>
            <wp:effectExtent l="0" t="0" r="0" b="0"/>
            <wp:docPr id="2" name="图片 2" descr="C:\Users\Administrator\Desktop\合理布局规划\附件：烟草制品零售点合理布局规划汇编（共计15份）\0.2城东发展区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合理布局规划\附件：烟草制品零售点合理布局规划汇编（共计15份）\0.2城东发展区域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</w:p>
    <w:p w:rsidR="00175584" w:rsidRDefault="00175584" w:rsidP="00175584">
      <w:pPr>
        <w:jc w:val="left"/>
        <w:rPr>
          <w:rFonts w:asciiTheme="minorEastAsia" w:hAnsiTheme="minorEastAsia"/>
          <w:sz w:val="24"/>
        </w:rPr>
      </w:pPr>
    </w:p>
    <w:p w:rsidR="006B0539" w:rsidRDefault="006B0539"/>
    <w:sectPr w:rsidR="006B053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2B"/>
    <w:rsid w:val="00175584"/>
    <w:rsid w:val="006B0539"/>
    <w:rsid w:val="00E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5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5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5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2023-10-13T01:56:00Z</dcterms:created>
  <dcterms:modified xsi:type="dcterms:W3CDTF">2023-10-13T01:56:00Z</dcterms:modified>
</cp:coreProperties>
</file>